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29FA" w14:textId="09F36827" w:rsidR="00BE4D4B" w:rsidRPr="00BE4D4B" w:rsidRDefault="00BE4D4B" w:rsidP="00101D18">
      <w:pPr>
        <w:spacing w:after="12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Published in the Singapore Journal of Legal Studies [2023] p 211:</w:t>
      </w:r>
    </w:p>
    <w:p w14:paraId="31D4B2A2" w14:textId="1F32FBBC" w:rsidR="00811F83" w:rsidRPr="00101D18" w:rsidRDefault="009739F9" w:rsidP="00101D18">
      <w:pPr>
        <w:spacing w:after="12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01D18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 xml:space="preserve">Crime and Punishment in Indonesia </w:t>
      </w:r>
      <w:r w:rsidRPr="00101D1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edited by Tim </w:t>
      </w:r>
      <w:r w:rsidRPr="00101D18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Lindsey</w:t>
      </w:r>
      <w:r w:rsidRPr="00101D1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and Helen </w:t>
      </w:r>
      <w:r w:rsidRPr="00101D18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Pausacker</w:t>
      </w:r>
      <w:r w:rsidRPr="00101D1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572EB3" w:rsidRPr="00101D1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Abingdon</w:t>
      </w:r>
      <w:r w:rsidRPr="00101D1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 Routledge, 2021. xxxvi + 569 pp. Hardcover: £136</w:t>
      </w:r>
    </w:p>
    <w:p w14:paraId="6D0B2002" w14:textId="5C37ADAA" w:rsidR="0023117E" w:rsidRDefault="00A51409" w:rsidP="00101D18">
      <w:pPr>
        <w:spacing w:after="12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Like </w:t>
      </w:r>
      <w:r w:rsidRPr="00A5140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Dostoevsky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’s classic namesake, </w:t>
      </w:r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Crime and Punishment in Indonesia</w:t>
      </w:r>
      <w:r w:rsidR="00BA0AA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8A3C5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explores the </w:t>
      </w:r>
      <w:r w:rsidR="00066C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sometimes-arbitrary</w:t>
      </w:r>
      <w:r w:rsidR="008A3C5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66C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demarcation</w:t>
      </w:r>
      <w:r w:rsidR="008A3C5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of moral and legal boundaries </w:t>
      </w:r>
      <w:r w:rsidR="00A84C6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with</w:t>
      </w:r>
      <w:r w:rsidR="008A3C5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in </w:t>
      </w:r>
      <w:r w:rsidR="005C6CB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an</w:t>
      </w:r>
      <w:r w:rsidR="00B50E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unequal society</w:t>
      </w:r>
      <w:r w:rsidR="008768D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5C6CB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together with</w:t>
      </w:r>
      <w:r w:rsidR="008768D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</w:t>
      </w:r>
      <w:r w:rsidR="005C6CB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interplay between </w:t>
      </w:r>
      <w:r w:rsidR="008768D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religion </w:t>
      </w:r>
      <w:r w:rsidR="005C6CB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and legal positivism</w:t>
      </w:r>
      <w:r w:rsidR="008A3C5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8463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3117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Crime and Punishment in Indonesia </w:t>
      </w:r>
      <w:r w:rsidR="002311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is edited by two </w:t>
      </w:r>
      <w:r w:rsidR="008123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giants</w:t>
      </w:r>
      <w:r w:rsidR="002311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 the field of Indonesian Law, Professor Tim Lindsey and Dr Helen Pausacker, </w:t>
      </w:r>
      <w:r w:rsidR="0026719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Director and Deputy Director, respectively, of the</w:t>
      </w:r>
      <w:r w:rsidR="00337E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Centre for Indonesian Law, Islam and Society (CILIS)</w:t>
      </w:r>
      <w:r w:rsidR="002311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at Melbourne Law School.</w:t>
      </w:r>
      <w:r w:rsidR="00066C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They have brought together a knowledgeable cast of 1</w:t>
      </w:r>
      <w:r w:rsidR="0098483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7</w:t>
      </w:r>
      <w:r w:rsidR="00D673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different</w:t>
      </w:r>
      <w:r w:rsidR="00066C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authors across 20 different chapters, featuring a mixture of Indonesian and non-Indonesian</w:t>
      </w:r>
      <w:r w:rsidR="0007153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scholars</w:t>
      </w:r>
      <w:r w:rsidR="00066C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Many of the </w:t>
      </w:r>
      <w:r w:rsidR="008219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contributors</w:t>
      </w:r>
      <w:r w:rsidR="00066C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are connected to </w:t>
      </w:r>
      <w:r w:rsidR="00337E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Melbourne Law School</w:t>
      </w:r>
      <w:r w:rsidR="00313AC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as Associates of CILIS</w:t>
      </w:r>
      <w:r w:rsidR="0098483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37E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and/</w:t>
      </w:r>
      <w:r w:rsidR="0098483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or as</w:t>
      </w:r>
      <w:r w:rsidR="00066C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Lindsey’s former PhD students.</w:t>
      </w:r>
      <w:r w:rsidR="007E24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E64A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At the time of </w:t>
      </w:r>
      <w:r w:rsidR="00A84C6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the volume’s </w:t>
      </w:r>
      <w:r w:rsidR="000E64A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publication, s</w:t>
      </w:r>
      <w:r w:rsidR="007E24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everal </w:t>
      </w:r>
      <w:r w:rsidR="009519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authors </w:t>
      </w:r>
      <w:r w:rsidR="000E64A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were</w:t>
      </w:r>
      <w:r w:rsidR="007E24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intimately involved in law reform or legal advocacy</w:t>
      </w:r>
      <w:r w:rsidR="008219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projects</w:t>
      </w:r>
      <w:r w:rsidR="007E24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 Indonesia, such as Ricky Gunawan (LBH Masyarakat), Rifqi </w:t>
      </w:r>
      <w:r w:rsidR="00DF50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Sjarief </w:t>
      </w:r>
      <w:r w:rsidR="007E24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Assegaf (LeIP)</w:t>
      </w:r>
      <w:r w:rsidR="00DF50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Raynov Tumorang Pamintori (Reprieve), </w:t>
      </w:r>
      <w:r w:rsidR="000E64A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and </w:t>
      </w:r>
      <w:r w:rsidR="00DF50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Mas Achmad Santosa (</w:t>
      </w:r>
      <w:r w:rsidR="00337E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Presidential Task Force to Combat Illegal Fishing)</w:t>
      </w:r>
      <w:r w:rsidR="00A84C6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This</w:t>
      </w:r>
      <w:r w:rsidR="007E24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serves to provide the book a practical flavour</w:t>
      </w:r>
      <w:r w:rsidR="009519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which other </w:t>
      </w:r>
      <w:r w:rsidR="00E02D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collections</w:t>
      </w:r>
      <w:r w:rsidR="009519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on criminal law</w:t>
      </w:r>
      <w:r w:rsidR="00E02D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edited by academics,</w:t>
      </w:r>
      <w:r w:rsidR="009519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D673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tend to be</w:t>
      </w:r>
      <w:r w:rsidR="009519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missing</w:t>
      </w:r>
      <w:r w:rsidR="007E24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01147017" w14:textId="0A6B6143" w:rsidR="005A673B" w:rsidRDefault="008463AA" w:rsidP="00101D18">
      <w:pPr>
        <w:spacing w:after="12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The volume is not intended </w:t>
      </w:r>
      <w:r w:rsidR="004A5E7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as a handbook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to enable the</w:t>
      </w:r>
      <w:r w:rsidR="00D673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uninitiated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reader to ‘learn’ Indonesian criminal law</w:t>
      </w:r>
      <w:r w:rsidR="008C5B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procedure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from scratch</w:t>
      </w:r>
      <w:r w:rsidR="008408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103E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Nor </w:t>
      </w:r>
      <w:r w:rsidR="00847C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does </w:t>
      </w:r>
      <w:r w:rsidR="00103E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it</w:t>
      </w:r>
      <w:r w:rsidR="00D67E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8342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attempt to </w:t>
      </w:r>
      <w:r w:rsidR="00E31CB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describe</w:t>
      </w:r>
      <w:r w:rsidR="00847C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D67E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the </w:t>
      </w:r>
      <w:r w:rsidR="005A67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most common</w:t>
      </w:r>
      <w:r w:rsidR="00D67E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experiences of criminal litigants</w:t>
      </w:r>
      <w:r w:rsidR="005A67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 Indonesia</w:t>
      </w:r>
      <w:r w:rsidR="00847C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which have been well </w:t>
      </w:r>
      <w:r w:rsidR="004A5E7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documented</w:t>
      </w:r>
      <w:r w:rsidR="00847C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elsewhere</w:t>
      </w:r>
      <w:r w:rsidR="00D67E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r w:rsidR="008342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i.e. </w:t>
      </w:r>
      <w:r w:rsidR="009524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facing </w:t>
      </w:r>
      <w:r w:rsidR="00103E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mundane charges of drug possession, driving offences and assault; </w:t>
      </w:r>
      <w:r w:rsidR="00D67E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navigating corruption at all levels</w:t>
      </w:r>
      <w:r w:rsidR="00103E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  <w:r w:rsidR="00D67E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</w:t>
      </w:r>
      <w:r w:rsidR="00A84C6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legal </w:t>
      </w:r>
      <w:r w:rsidR="004A5E7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culture</w:t>
      </w:r>
      <w:r w:rsidR="00A84C6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prioritising</w:t>
      </w:r>
      <w:r w:rsidR="00D67E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9524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consensual deliberati</w:t>
      </w:r>
      <w:r w:rsidR="007D013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on</w:t>
      </w:r>
      <w:r w:rsidR="008123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over conflict</w:t>
      </w:r>
      <w:r w:rsidR="008342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D67E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</w:t>
      </w:r>
      <w:r w:rsidR="00996D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regional differences</w:t>
      </w:r>
      <w:r w:rsidR="005A67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 decision-making</w:t>
      </w:r>
      <w:r w:rsidR="00996D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across the archipelago)</w:t>
      </w:r>
      <w:r w:rsidR="00445B6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r w:rsidR="0007153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e.g. </w:t>
      </w:r>
      <w:r w:rsidR="007D013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Lev, </w:t>
      </w:r>
      <w:r w:rsidR="007D013D" w:rsidRPr="007D013D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Legal Evolution and Political Authority in Indonesia: Selected Essays</w:t>
      </w:r>
      <w:r w:rsidR="007D013D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="007D013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(2000); </w:t>
      </w:r>
      <w:r w:rsidR="00E17C21" w:rsidRPr="00E17C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Crouch (ed), </w:t>
      </w:r>
      <w:r w:rsidR="00E17C21" w:rsidRPr="00E17C21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The Politics of Court Reform: Judicial Change and Legal Culture in Indonesia</w:t>
      </w:r>
      <w:r w:rsidR="00E17C21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="00E17C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(2019)</w:t>
      </w:r>
      <w:r w:rsidR="007F4F0D" w:rsidRPr="00E17C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; </w:t>
      </w:r>
      <w:r w:rsidR="00811E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Butt, </w:t>
      </w:r>
      <w:r w:rsidR="00811E6C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Corruption and Law in Indonesia </w:t>
      </w:r>
      <w:r w:rsidR="00811E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(2012); </w:t>
      </w:r>
      <w:r w:rsidR="00C4115A" w:rsidRPr="007D013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Fitzpatrick</w:t>
      </w:r>
      <w:r w:rsidR="007D013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‘Culture, Ideology and Human Rights: The Case of Indonesia’s Code of Criminal Procedure</w:t>
      </w:r>
      <w:r w:rsidR="00B877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’</w:t>
      </w:r>
      <w:r w:rsidR="007D013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(1999)</w:t>
      </w:r>
      <w:r w:rsidR="00445B6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r w:rsidR="008408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E17EA3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Crime and Punishment in Indonesia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instead considers the </w:t>
      </w:r>
      <w:r w:rsidR="002851F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historical, </w:t>
      </w:r>
      <w:r w:rsidR="00E02D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political, and </w:t>
      </w:r>
      <w:r w:rsidR="004D789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moral</w:t>
      </w:r>
      <w:r w:rsidR="00E02D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debates</w:t>
      </w:r>
      <w:r w:rsidR="006E5F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central to</w:t>
      </w:r>
      <w:r w:rsidR="002851F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modern</w:t>
      </w:r>
      <w:r w:rsidR="006E5F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law reform in the world’s largest Muslim country, </w:t>
      </w:r>
      <w:r w:rsidR="008123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which features</w:t>
      </w:r>
      <w:r w:rsidR="006E5F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</w:t>
      </w:r>
      <w:r w:rsidR="00996D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pluralistic</w:t>
      </w:r>
      <w:r w:rsidR="006E5F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legal system that combines a Dutch civil law heritage with Islamic Law and </w:t>
      </w:r>
      <w:r w:rsidR="006E5F42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adat </w:t>
      </w:r>
      <w:r w:rsidR="006E5F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</w:t>
      </w:r>
      <w:r w:rsidR="00561A1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regional </w:t>
      </w:r>
      <w:r w:rsidR="006E5F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customary law).</w:t>
      </w:r>
      <w:r w:rsidR="008408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D789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As Butt and Lindsey </w:t>
      </w:r>
      <w:r w:rsidR="002851F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aptly </w:t>
      </w:r>
      <w:r w:rsidR="004D789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summarise in Chapter 1</w:t>
      </w:r>
      <w:r w:rsidR="00C411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(p. 38)</w:t>
      </w:r>
      <w:r w:rsidR="004D789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</w:t>
      </w:r>
    </w:p>
    <w:p w14:paraId="15201D30" w14:textId="77777777" w:rsidR="00BE4D4B" w:rsidRDefault="00BE4D4B" w:rsidP="00101D18">
      <w:pPr>
        <w:spacing w:after="12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2A2280E1" w14:textId="502D510A" w:rsidR="004D789D" w:rsidRDefault="004D789D" w:rsidP="00101D18">
      <w:pPr>
        <w:spacing w:after="120" w:line="360" w:lineRule="auto"/>
        <w:ind w:left="567" w:right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Indonesia is a country that has always been famous for its social and cultural diversity</w:t>
      </w:r>
      <w:r w:rsidR="00C411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… finding agreement over criminal laws that will directly define sexual freedoms, human rights, or citizen’s rights to oppose or criticise the government, among many other things, is extremely difficult.</w:t>
      </w:r>
    </w:p>
    <w:p w14:paraId="108D10C9" w14:textId="1CEDD317" w:rsidR="00E17EA3" w:rsidRDefault="00AF6BFA" w:rsidP="00101D18">
      <w:pPr>
        <w:spacing w:after="12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</w:t>
      </w:r>
      <w:r w:rsidR="00847C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he</w:t>
      </w:r>
      <w:r w:rsidR="00F414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</w:t>
      </w:r>
      <w:r w:rsidR="00847C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debates have intensified since the fall of Suharto in 1998</w:t>
      </w:r>
      <w:r w:rsidR="00E02D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847C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02D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</w:t>
      </w:r>
      <w:r w:rsidR="00847C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he Indonesian legislature</w:t>
      </w:r>
      <w:r w:rsidR="00C947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(DPR)</w:t>
      </w:r>
      <w:r w:rsidR="00E02D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851F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has been close</w:t>
      </w:r>
      <w:r w:rsidR="00E02D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to </w:t>
      </w:r>
      <w:r w:rsidR="00847C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pass</w:t>
      </w:r>
      <w:r w:rsidR="00E02D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ing</w:t>
      </w:r>
      <w:r w:rsidR="00847C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new criminal code (R</w:t>
      </w:r>
      <w:r w:rsidR="004D789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UU </w:t>
      </w:r>
      <w:r w:rsidR="00847C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KUHP)</w:t>
      </w:r>
      <w:r w:rsidR="002851F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847C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8C5B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which aims to</w:t>
      </w:r>
      <w:r w:rsidR="00847C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decolonise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democratise, consolidate and harmonise</w:t>
      </w:r>
      <w:r w:rsidR="00847C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D30EE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 country’s criminal laws (</w:t>
      </w:r>
      <w:r w:rsidR="00D30EEC" w:rsidRPr="003F46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Aliansi Nasional Reformasi KUHP</w:t>
      </w:r>
      <w:r w:rsidR="002851F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‘Mengurai Mitos Nasionalisme Dalam RKUHP’ (2018)</w:t>
      </w:r>
      <w:r w:rsidR="00D30EE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).</w:t>
      </w:r>
      <w:r w:rsidR="00F414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8123F6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Crime and Punishment in Indonesia</w:t>
      </w:r>
      <w:r w:rsidR="008123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’s</w:t>
      </w:r>
      <w:r w:rsidR="008123F6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various</w:t>
      </w:r>
      <w:r w:rsidR="00F414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sub</w:t>
      </w:r>
      <w:r w:rsidR="00F414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sections, covering reform of the criminal</w:t>
      </w:r>
      <w:r w:rsidR="008C5B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procedural</w:t>
      </w:r>
      <w:r w:rsidR="00F414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codes</w:t>
      </w:r>
      <w:r w:rsidR="009D6D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(Ch 2-4)</w:t>
      </w:r>
      <w:r w:rsidR="00F414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the courts</w:t>
      </w:r>
      <w:r w:rsidR="009D6D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(Ch 5-7)</w:t>
      </w:r>
      <w:r w:rsidR="00F414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sentencing</w:t>
      </w:r>
      <w:r w:rsidR="009D6D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(Ch 8-11)</w:t>
      </w:r>
      <w:r w:rsidR="00F414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9D6D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crime and the environment (Ch 12-14)</w:t>
      </w:r>
      <w:r w:rsidR="00F414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criminal</w:t>
      </w:r>
      <w:r w:rsidR="00E02D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law</w:t>
      </w:r>
      <w:r w:rsidR="00F414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religion</w:t>
      </w:r>
      <w:r w:rsidR="009D6D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(Ch 15-18)</w:t>
      </w:r>
      <w:r w:rsidR="00F414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and criminal law in Aceh</w:t>
      </w:r>
      <w:r w:rsidR="009D6D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(Ch 19-20)</w:t>
      </w:r>
      <w:r w:rsidR="00F414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reflect the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scope</w:t>
      </w:r>
      <w:r w:rsidR="00F414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of debate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the direction</w:t>
      </w:r>
      <w:r w:rsidR="009C60F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 policy movement</w:t>
      </w:r>
      <w:r w:rsidR="00F414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9238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Several of the authors provide </w:t>
      </w:r>
      <w:r w:rsidR="009600F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their own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policy recommendations </w:t>
      </w:r>
      <w:r w:rsidR="007443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aiming </w:t>
      </w:r>
      <w:r w:rsidR="00561A1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to alleviate dysfunction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9238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Even the book’s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initial </w:t>
      </w:r>
      <w:r w:rsidR="009238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dedication is revealing of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its</w:t>
      </w:r>
      <w:r w:rsidR="009238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reform-based focus, address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ing</w:t>
      </w:r>
      <w:r w:rsidR="009238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‘the late Munir Said Thalib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[1965-2004]</w:t>
      </w:r>
      <w:r w:rsidR="009238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all those lawyers, scholars and activists who work tirelessly for law reform in Indonesia’</w:t>
      </w:r>
      <w:r w:rsidR="008123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r w:rsidR="003F46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p. v</w:t>
      </w:r>
      <w:r w:rsidR="008123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).</w:t>
      </w:r>
      <w:r w:rsidR="00C70A1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4FA96FA3" w14:textId="2898C8CF" w:rsidR="002D1471" w:rsidRPr="00A24A46" w:rsidRDefault="00E17EA3" w:rsidP="00101D18">
      <w:pPr>
        <w:spacing w:after="12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The </w:t>
      </w:r>
      <w:r w:rsidR="00E5491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post-1998</w:t>
      </w:r>
      <w:r w:rsidR="008408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English-language literature on Indonesian criminal </w:t>
      </w:r>
      <w:r w:rsidR="001A62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justice</w:t>
      </w:r>
      <w:r w:rsidR="008408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has</w:t>
      </w:r>
      <w:r w:rsidR="008408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8219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typically </w:t>
      </w:r>
      <w:r w:rsidR="008408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adopted a narrower ambit in terms of subject matter (</w:t>
      </w:r>
      <w:r w:rsidR="0059140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focusing on </w:t>
      </w:r>
      <w:r w:rsidR="002029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e.g. </w:t>
      </w:r>
      <w:r w:rsidR="00CA32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customary</w:t>
      </w:r>
      <w:r w:rsidR="0059140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criminal</w:t>
      </w:r>
      <w:r w:rsidR="00CA32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law</w:t>
      </w:r>
      <w:r w:rsidR="0059140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</w:t>
      </w:r>
      <w:r w:rsidR="00CA32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: </w:t>
      </w:r>
      <w:r w:rsidR="00B31AC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Haveman and Roelof, </w:t>
      </w:r>
      <w:r w:rsidR="00B31AC7" w:rsidRPr="00B31AC7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The Legality of Adat Criminal Law in Modern Indonesia</w:t>
      </w:r>
      <w:r w:rsidR="00B31AC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(2001)</w:t>
      </w:r>
      <w:r w:rsidR="00CA32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 drugs</w:t>
      </w:r>
      <w:r w:rsidR="0059140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</w:t>
      </w:r>
      <w:r w:rsidR="00CA32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capital punishment: </w:t>
      </w:r>
      <w:r w:rsidR="00817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Lindsey and Nicholson</w:t>
      </w:r>
      <w:r w:rsidR="002029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2029BD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Drugs Law and Legal Practice in Southeast Asia </w:t>
      </w:r>
      <w:r w:rsidR="002029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</w:t>
      </w:r>
      <w:r w:rsidR="00817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2016</w:t>
      </w:r>
      <w:r w:rsidR="002029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r w:rsidR="008E1E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  <w:r w:rsidR="00CA32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comparative law:</w:t>
      </w:r>
      <w:r w:rsidR="008E1E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Atmasasmita, </w:t>
      </w:r>
      <w:r w:rsidR="008E1E80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A Reconstruction of the Principle of “No Punishment Without Guilt”</w:t>
      </w:r>
      <w:r w:rsidR="0007773C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="000777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(2020)</w:t>
      </w:r>
      <w:r w:rsidR="00CA32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  <w:r w:rsidR="0059140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or</w:t>
      </w:r>
      <w:r w:rsidR="00CA32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international relations:</w:t>
      </w:r>
      <w:r w:rsidR="00CE702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McKenzie, </w:t>
      </w:r>
      <w:r w:rsidR="00CE7022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Common Enemies: Crime, Policy, and Politics in Australia-Indonesia Relations</w:t>
      </w:r>
      <w:r w:rsidR="00FB4F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(2018)</w:t>
      </w:r>
      <w:r w:rsidR="008408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r w:rsidR="0059140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8408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9140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By contrast,</w:t>
      </w:r>
      <w:r w:rsidR="008408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D67E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the equivalent Indonesian-language literature </w:t>
      </w:r>
      <w:r w:rsidR="00FF64C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usually adopts</w:t>
      </w:r>
      <w:r w:rsidR="00D67E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commentary</w:t>
      </w:r>
      <w:r w:rsidR="009269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-based</w:t>
      </w:r>
      <w:r w:rsidR="00D67E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approach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8219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with</w:t>
      </w:r>
      <w:r w:rsidR="007443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doctrinal</w:t>
      </w:r>
      <w:r w:rsidR="008219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contributions</w:t>
      </w:r>
      <w:r w:rsidR="0003675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on</w:t>
      </w:r>
      <w:r w:rsidR="002D14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general principles,</w:t>
      </w:r>
      <w:r w:rsidR="0003675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KUHP, </w:t>
      </w:r>
      <w:r w:rsidR="00D908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KUHAP</w:t>
      </w:r>
      <w:r w:rsidR="0064140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r w:rsidR="001A62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the </w:t>
      </w:r>
      <w:r w:rsidR="009269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</w:t>
      </w:r>
      <w:r w:rsidR="0064140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riminal </w:t>
      </w:r>
      <w:r w:rsidR="009269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</w:t>
      </w:r>
      <w:r w:rsidR="0064140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rocedure</w:t>
      </w:r>
      <w:r w:rsidR="009269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Code</w:t>
      </w:r>
      <w:r w:rsidR="0064140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r w:rsidR="00D908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</w:t>
      </w:r>
      <w:r w:rsidR="006428C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the </w:t>
      </w:r>
      <w:r w:rsidR="004108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various </w:t>
      </w:r>
      <w:r w:rsidR="00D908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specialist criminal laws</w:t>
      </w:r>
      <w:r w:rsidR="008219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61A1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characteristically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penned by practising advocates</w:t>
      </w:r>
      <w:r w:rsidR="007443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or law professors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C63FC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Prominent</w:t>
      </w:r>
      <w:r w:rsidR="0059140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examples are Hamzah, </w:t>
      </w:r>
      <w:r w:rsidR="00591405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Hukum Pidana Indonesia </w:t>
      </w:r>
      <w:r w:rsidR="0059140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(2017); Purwoleksono, </w:t>
      </w:r>
      <w:r w:rsidR="00A24A46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Hukum Pidana </w:t>
      </w:r>
      <w:r w:rsidR="00A24A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(2016);</w:t>
      </w:r>
      <w:r w:rsidR="007C48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Tomalili, </w:t>
      </w:r>
      <w:r w:rsidR="007C483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Hukum Pidana </w:t>
      </w:r>
      <w:r w:rsidR="007C48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(2019) and Ali, </w:t>
      </w:r>
      <w:r w:rsidR="007C483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Dasar-Dasar Hukum Pidana </w:t>
      </w:r>
      <w:r w:rsidR="007C48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(2022)</w:t>
      </w:r>
      <w:r w:rsidR="00A24A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228A7192" w14:textId="79EA9F16" w:rsidR="009739F9" w:rsidRDefault="00E17EA3" w:rsidP="00101D18">
      <w:pPr>
        <w:spacing w:after="12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 this context,</w:t>
      </w:r>
      <w:r w:rsidR="00D67E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20 chapters in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Lindsey and Pausacker’s</w:t>
      </w:r>
      <w:r w:rsidR="00D67E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46F4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edited </w:t>
      </w:r>
      <w:r w:rsidR="008219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collection</w:t>
      </w:r>
      <w:r w:rsidR="00D67E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7443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together </w:t>
      </w:r>
      <w:r w:rsidR="00D67E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provide a</w:t>
      </w:r>
      <w:r w:rsidR="00445B6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welcome</w:t>
      </w:r>
      <w:r w:rsidR="00D67E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comprehensive and</w:t>
      </w:r>
      <w:r w:rsidR="00445B6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7443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critical</w:t>
      </w:r>
      <w:r w:rsidR="00D67E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analysis</w:t>
      </w:r>
      <w:r w:rsidR="00445B6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of the most controversial and </w:t>
      </w:r>
      <w:r w:rsidR="00701F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pressing</w:t>
      </w:r>
      <w:r w:rsidR="00445B6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criminal justice debates in Indonesia</w:t>
      </w:r>
      <w:r w:rsidR="004108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 the </w:t>
      </w:r>
      <w:r w:rsidR="0041083C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Reformasi </w:t>
      </w:r>
      <w:r w:rsidR="004108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(post-Suharto) period</w:t>
      </w:r>
      <w:r w:rsidR="00445B6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25A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In some ways </w:t>
      </w:r>
      <w:r w:rsidR="004108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 volume</w:t>
      </w:r>
      <w:r w:rsidR="00525A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serves as a </w:t>
      </w:r>
      <w:r w:rsidR="00B2114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penal policy</w:t>
      </w:r>
      <w:r w:rsidR="00701F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-centred</w:t>
      </w:r>
      <w:r w:rsidR="00525A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follow-up to</w:t>
      </w:r>
      <w:r w:rsidR="004108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25A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Lindsey and </w:t>
      </w:r>
      <w:r w:rsidR="004108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Simon </w:t>
      </w:r>
      <w:r w:rsidR="00525A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Butt’s </w:t>
      </w:r>
      <w:r w:rsidR="00525A74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Indonesian Law </w:t>
      </w:r>
      <w:r w:rsidR="00525A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(</w:t>
      </w:r>
      <w:r w:rsidR="00FF64C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Oxford University Press</w:t>
      </w:r>
      <w:r w:rsidR="009269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25A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2018)</w:t>
      </w:r>
      <w:r w:rsidR="00701F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which has quickly become the leading English-language guide to the Indonesian legal system</w:t>
      </w:r>
      <w:r w:rsidR="00525A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Professor Simon Butt, </w:t>
      </w:r>
      <w:r w:rsidR="00701F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Director of the Centre for Asian and Pacific Law at The University of Sydney Law School</w:t>
      </w:r>
      <w:r w:rsidR="00525A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is also one of the </w:t>
      </w:r>
      <w:r w:rsidR="009269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major </w:t>
      </w:r>
      <w:r w:rsidR="00525A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contributors </w:t>
      </w:r>
      <w:r w:rsidR="004108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to </w:t>
      </w:r>
      <w:r w:rsidR="0041083C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Crime and Punishment in Indonesia</w:t>
      </w:r>
      <w:r w:rsidR="00701F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(Ch 2, 3, 20)</w:t>
      </w:r>
      <w:r w:rsidR="00525A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4108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7F2A6D4D" w14:textId="269333A3" w:rsidR="00C84235" w:rsidRDefault="00923807" w:rsidP="00101D18">
      <w:pPr>
        <w:spacing w:after="12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As mentioned, the </w:t>
      </w:r>
      <w:r w:rsidR="004108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chapters are arranged into six sections, covering the most prominent debates</w:t>
      </w:r>
      <w:r w:rsidR="004F79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 Indonesian criminal justice</w:t>
      </w:r>
      <w:r w:rsidR="004108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replete with case examples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The chapters </w:t>
      </w:r>
      <w:r w:rsidR="005A67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discuss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 range of legislation</w:t>
      </w:r>
      <w:r w:rsidR="004108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r w:rsidR="00E43E2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most prominently</w:t>
      </w:r>
      <w:r w:rsidR="004108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Criminal Code, Criminal Procedure Code, </w:t>
      </w:r>
      <w:r w:rsidR="007A6E1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Extradition Law, the various Laws on Judicial Power</w:t>
      </w:r>
      <w:r w:rsidR="004101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</w:t>
      </w:r>
      <w:r w:rsidR="00B2114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980B7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Corruption Eradication Law</w:t>
      </w:r>
      <w:r w:rsidR="00B2114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9814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Pornography Law</w:t>
      </w:r>
      <w:r w:rsidR="00B2114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and</w:t>
      </w:r>
      <w:r w:rsidR="00280C0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Aceh’s </w:t>
      </w:r>
      <w:r w:rsidR="00280C08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Qanun Jinayat</w:t>
      </w:r>
      <w:r w:rsidR="003E3193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="003E31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(Islamic Criminal Code)</w:t>
      </w:r>
      <w:r w:rsidR="004108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a range of court</w:t>
      </w:r>
      <w:r w:rsidR="004108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venues</w:t>
      </w:r>
      <w:r w:rsidR="009519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the relationship between the</w:t>
      </w:r>
      <w:r w:rsidR="006B14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ir rulings</w:t>
      </w:r>
      <w:r w:rsidR="004108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03D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</w:t>
      </w:r>
      <w:r w:rsidR="004108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e.g. the Supreme Court, Constitutional Court</w:t>
      </w:r>
      <w:r w:rsidR="00F568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7F4F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and lower courts</w:t>
      </w:r>
      <w:r w:rsidR="009519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regional differences (particularly </w:t>
      </w:r>
      <w:r w:rsidR="00567C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in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Aceh)</w:t>
      </w:r>
      <w:r w:rsidR="00C70A1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distinct modes of criminal liability</w:t>
      </w:r>
      <w:r w:rsidR="00F568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(e.g. individual, corporate</w:t>
      </w:r>
      <w:r w:rsidR="003D7E2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command responsibility)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different stages in the case process, from</w:t>
      </w:r>
      <w:r w:rsidR="00F568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extradition</w:t>
      </w:r>
      <w:r w:rsidR="00F03D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(Ch 7)</w:t>
      </w:r>
      <w:r w:rsidR="00C411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police investigations (Ch 3),</w:t>
      </w:r>
      <w:r w:rsidR="00F568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to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pre-trial stage</w:t>
      </w:r>
      <w:r w:rsidR="00F03D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(Ch 5)</w:t>
      </w:r>
      <w:r w:rsidR="00E936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sentencing</w:t>
      </w:r>
      <w:r w:rsidR="00F03D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(Ch 8-11)</w:t>
      </w:r>
      <w:r w:rsidR="00E936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appeals (Ch 6)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567C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Many of the chapters also contain detailed empirical analysis of criminal justice trends, </w:t>
      </w:r>
      <w:r w:rsidR="00F03D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often</w:t>
      </w:r>
      <w:r w:rsidR="00567C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sampling from the caselaw available on the Supreme Court’s website, but also </w:t>
      </w:r>
      <w:r w:rsidR="00446F4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bolstered by</w:t>
      </w:r>
      <w:r w:rsidR="00567C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interviews with judges</w:t>
      </w:r>
      <w:r w:rsidR="00446F4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567C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prosecutors</w:t>
      </w:r>
      <w:r w:rsidR="00446F4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defence lawyers</w:t>
      </w:r>
      <w:r w:rsidR="003C3E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civil servants</w:t>
      </w:r>
      <w:r w:rsidR="00567C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C3E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and </w:t>
      </w:r>
      <w:r w:rsidR="00B2114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prisoners</w:t>
      </w:r>
      <w:r w:rsidR="00567C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185A0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443047A9" w14:textId="7830B147" w:rsidR="003D7E2B" w:rsidRDefault="00185A01" w:rsidP="00101D18">
      <w:pPr>
        <w:spacing w:after="12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In a large and disorganised </w:t>
      </w:r>
      <w:r w:rsidR="00446F4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polity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it takes</w:t>
      </w:r>
      <w:r w:rsidR="00F03D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842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robust</w:t>
      </w:r>
      <w:r w:rsidR="00B2114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empirical</w:t>
      </w:r>
      <w:r w:rsidR="003D7E2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research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such as this to understand how Indonesian criminal justice might work</w:t>
      </w:r>
      <w:r w:rsidR="00561A1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or not work,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 practice.</w:t>
      </w:r>
      <w:r w:rsidR="00C70A1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46F4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The </w:t>
      </w:r>
      <w:r w:rsidR="004165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four</w:t>
      </w:r>
      <w:r w:rsidR="00446F4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most</w:t>
      </w:r>
      <w:r w:rsidR="00C70A1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noteworthy</w:t>
      </w:r>
      <w:r w:rsidR="00F03D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post-</w:t>
      </w:r>
      <w:r w:rsidR="00C842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Suharto</w:t>
      </w:r>
      <w:r w:rsidR="00C70A1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trends that </w:t>
      </w:r>
      <w:r w:rsidR="004165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cut across</w:t>
      </w:r>
      <w:r w:rsidR="00446F4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different chapters</w:t>
      </w:r>
      <w:r w:rsidR="00C70A1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are</w:t>
      </w:r>
      <w:r w:rsidR="00F03D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 the</w:t>
      </w:r>
      <w:r w:rsidR="00C70A1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increasingly punitive criminal law</w:t>
      </w:r>
      <w:r w:rsidR="003D7E2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 and punishments</w:t>
      </w:r>
      <w:r w:rsidR="00C70A1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 Indonesia</w:t>
      </w:r>
      <w:r w:rsidR="00C842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  <w:r w:rsidR="004165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234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law enforcement agencies</w:t>
      </w:r>
      <w:r w:rsidR="004165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targeting lower-level as opposed to higher-level perpetrators (‘</w:t>
      </w:r>
      <w:r w:rsidR="0041655B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tajam ke bawah, t</w:t>
      </w:r>
      <w:r w:rsidR="009D6D47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u</w:t>
      </w:r>
      <w:r w:rsidR="0041655B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mpul ke atas</w:t>
      </w:r>
      <w:r w:rsidR="0041655B" w:rsidRPr="004165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’</w:t>
      </w:r>
      <w:r w:rsidR="004165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p</w:t>
      </w:r>
      <w:r w:rsidR="00C842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4165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9D6D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357)</w:t>
      </w:r>
      <w:r w:rsidR="00C842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  <w:r w:rsidR="0041655B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="00C70A1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8B4D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regional fragmentation, and the </w:t>
      </w:r>
      <w:r w:rsidR="00F03D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closer integration of Islamic Criminal Law doctrine into Indonesian practice</w:t>
      </w:r>
      <w:r w:rsidR="00070F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whether </w:t>
      </w:r>
      <w:r w:rsidR="005A67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explicitly </w:t>
      </w:r>
      <w:r w:rsidR="00070F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through </w:t>
      </w:r>
      <w:r w:rsidR="005A67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law-making,</w:t>
      </w:r>
      <w:r w:rsidR="00070F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or </w:t>
      </w:r>
      <w:r w:rsidR="005A67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else </w:t>
      </w:r>
      <w:r w:rsidR="00070F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through the internalisation of </w:t>
      </w:r>
      <w:r w:rsidR="00C842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religious conservatism </w:t>
      </w:r>
      <w:r w:rsidR="00070F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by decision-makers</w:t>
      </w:r>
      <w:r w:rsidR="008B4D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Each of these issues </w:t>
      </w:r>
      <w:r w:rsidR="005A67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serves as</w:t>
      </w:r>
      <w:r w:rsidR="00070F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microcosm of</w:t>
      </w:r>
      <w:r w:rsidR="008B4D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93E5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wider </w:t>
      </w:r>
      <w:r w:rsidR="008B4D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Indonesian politics</w:t>
      </w:r>
      <w:r w:rsidR="009519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best encapsulated by</w:t>
      </w:r>
      <w:r w:rsidR="006D5E2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developments in</w:t>
      </w:r>
      <w:r w:rsidR="009519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province of Aceh, which adopted </w:t>
      </w:r>
      <w:r w:rsidR="00A9019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an </w:t>
      </w:r>
      <w:r w:rsidR="009519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Islamic Criminal </w:t>
      </w:r>
      <w:r w:rsidR="00A9019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Code</w:t>
      </w:r>
      <w:r w:rsidR="00070F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9519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 201</w:t>
      </w:r>
      <w:r w:rsidR="00A9019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4</w:t>
      </w:r>
      <w:r w:rsidR="009519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is </w:t>
      </w:r>
      <w:r w:rsidR="00E93E5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thus </w:t>
      </w:r>
      <w:r w:rsidR="009519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deserving of its own section in the volume</w:t>
      </w:r>
      <w:r w:rsidR="008B4D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3D7E2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5A3C0EA6" w14:textId="0B52365D" w:rsidR="00923807" w:rsidRDefault="00C70A11" w:rsidP="00101D18">
      <w:pPr>
        <w:spacing w:after="12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Furthermore, i</w:t>
      </w:r>
      <w:r w:rsidR="009238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 is often the case</w:t>
      </w:r>
      <w:r w:rsidR="00FD19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9238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in Indonesia or elsewhere that particular newsworthy scandals </w:t>
      </w:r>
      <w:r w:rsidR="006D5E2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become</w:t>
      </w:r>
      <w:r w:rsidR="009238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genesis of </w:t>
      </w:r>
      <w:r w:rsidR="006D5E2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more comprehensive</w:t>
      </w:r>
      <w:r w:rsidR="009238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law reform.</w:t>
      </w:r>
      <w:r w:rsidR="00747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most notorious criminal cases</w:t>
      </w:r>
      <w:r w:rsidR="00FE32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(and the media reporting surrounding them)</w:t>
      </w:r>
      <w:r w:rsidR="00747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D5E2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continue to </w:t>
      </w:r>
      <w:r w:rsidR="00747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shape public debate in </w:t>
      </w:r>
      <w:r w:rsidR="00FD4E3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predominantly </w:t>
      </w:r>
      <w:r w:rsidR="00747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civil law jurisdictions</w:t>
      </w:r>
      <w:r w:rsidR="006D5E2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like Indonesia</w:t>
      </w:r>
      <w:r w:rsidR="00747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even if the </w:t>
      </w:r>
      <w:r w:rsidR="006D5E2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associated </w:t>
      </w:r>
      <w:r w:rsidR="00747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court judgments do not create binding precedent.</w:t>
      </w:r>
      <w:r w:rsidR="009238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Some of the well-known cases that are given extensive coverage in the volume </w:t>
      </w:r>
      <w:r w:rsidR="005A0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involve the following defendants</w:t>
      </w:r>
      <w:r w:rsidR="009238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</w:t>
      </w:r>
    </w:p>
    <w:p w14:paraId="4F444010" w14:textId="29A12D1C" w:rsidR="0046444C" w:rsidRDefault="00575E82" w:rsidP="00101D18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Setya Novanto, a legislator and speaker of the DPR who miraculously avoided corruption convictions on several occasions,</w:t>
      </w:r>
      <w:r w:rsidR="004101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including by exploiting pretrial hearings,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before</w:t>
      </w:r>
      <w:r w:rsidR="004101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A0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eventually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being sentenced to 15 years’ imprisonment in 2017 (Ch 5)</w:t>
      </w:r>
      <w:r w:rsidR="00412E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1D84DBD3" w14:textId="4152A670" w:rsidR="004036C6" w:rsidRDefault="004036C6" w:rsidP="00101D18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Nigerian Humphrey Ejike Jefferson and </w:t>
      </w:r>
      <w:r w:rsidR="00412E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Indonesian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Meri Utami, </w:t>
      </w:r>
      <w:r w:rsidR="005A0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who were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both sentenced to death for drug trafficking and </w:t>
      </w:r>
      <w:r w:rsidR="005A0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were </w:t>
      </w:r>
      <w:r w:rsidR="00FD19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listed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to be executed in July 2016.</w:t>
      </w:r>
      <w:r w:rsidR="00412E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Jefferson’s execution proceeded, allegedly unlawfully, whereas Utami’s was cancelled at the last minute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(Ch 11)</w:t>
      </w:r>
      <w:r w:rsidR="00412E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0E8B0CAA" w14:textId="5B33A3D4" w:rsidR="00F86130" w:rsidRDefault="00F86130" w:rsidP="00101D18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PT Dongwoo Environmental Indonesia</w:t>
      </w:r>
      <w:r w:rsidR="002E146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PT Kallista Alam, PT Indominco Mandiri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</w:t>
      </w:r>
      <w:r w:rsidR="002E146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PT Baruna Segara Mandiri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2E146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all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companies accused of significant environmental crimes</w:t>
      </w:r>
      <w:r w:rsidR="0021211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FD19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 courts imposed fin</w:t>
      </w:r>
      <w:r w:rsidR="006B14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es</w:t>
      </w:r>
      <w:r w:rsidR="00FD19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either</w:t>
      </w:r>
      <w:r w:rsidR="0021211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on their directors or on the companies themselves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(Ch 12).</w:t>
      </w:r>
    </w:p>
    <w:p w14:paraId="7B6B078C" w14:textId="22E6A4F5" w:rsidR="0035320F" w:rsidRDefault="0035320F" w:rsidP="00101D18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Basuki ‘Ahok’ Tjahaja Purnama, then Governor of Jakarta, who was convicted of blasphemy in the North Jakarta District Court and sentenced to two years’ imprisonment</w:t>
      </w:r>
      <w:r w:rsidR="00FD19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This was a case that attracted </w:t>
      </w:r>
      <w:r w:rsidR="006B14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press </w:t>
      </w:r>
      <w:r w:rsidR="00FD19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attention from across the world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(Ch 15).</w:t>
      </w:r>
    </w:p>
    <w:p w14:paraId="54A9C733" w14:textId="16AD4801" w:rsidR="00DC7540" w:rsidRDefault="00DC7540" w:rsidP="00101D18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Nazril Irham</w:t>
      </w:r>
      <w:r w:rsidR="002040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pop </w:t>
      </w:r>
      <w:r w:rsidR="005A0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musician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040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from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band Peterpan, </w:t>
      </w:r>
      <w:r w:rsidR="006B14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who </w:t>
      </w:r>
      <w:r w:rsidR="002040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was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depicted in </w:t>
      </w:r>
      <w:r w:rsidR="002040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home-made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videos engaging in sexual activity with two Indonesian celebrities. Irham and Peterpan’s music</w:t>
      </w:r>
      <w:r w:rsidR="00C77C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al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editor, </w:t>
      </w:r>
      <w:r w:rsidR="005A0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Reza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Rinaldi, were imprisoned under the 200</w:t>
      </w:r>
      <w:r w:rsidR="00C77C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Pornography Law</w:t>
      </w:r>
      <w:r w:rsidR="0047041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845B0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as a result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(Ch 1</w:t>
      </w:r>
      <w:r w:rsidR="002040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).</w:t>
      </w:r>
    </w:p>
    <w:p w14:paraId="153CD251" w14:textId="77DAE909" w:rsidR="00845B06" w:rsidRPr="00233028" w:rsidRDefault="005A0580" w:rsidP="00101D18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Islami</w:t>
      </w:r>
      <w:r w:rsidR="00FD19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st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activists </w:t>
      </w:r>
      <w:r w:rsidR="00C77C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Rizieq Shihab and Firza Husein</w:t>
      </w:r>
      <w:r w:rsidR="00845B0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302DC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whose</w:t>
      </w:r>
      <w:r w:rsidR="00F311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rumoured</w:t>
      </w:r>
      <w:r w:rsidR="00845B0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2008 Pornography Law</w:t>
      </w:r>
      <w:r w:rsidR="00302DC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charges,</w:t>
      </w:r>
      <w:r w:rsidR="00845B0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for a prolonged exchange of </w:t>
      </w:r>
      <w:r w:rsidR="00B938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sexually explicit </w:t>
      </w:r>
      <w:r w:rsidR="00845B0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text messages and photos</w:t>
      </w:r>
      <w:r w:rsidR="00302DC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were eventually dropped </w:t>
      </w:r>
      <w:r w:rsidR="00845B0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(Ch 17).</w:t>
      </w:r>
    </w:p>
    <w:p w14:paraId="08585432" w14:textId="6B6D90AC" w:rsidR="00445B6B" w:rsidRDefault="00445B6B" w:rsidP="00101D18">
      <w:pPr>
        <w:spacing w:after="12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There are a couple of </w:t>
      </w:r>
      <w:r w:rsidR="00E36CE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shortcomings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of the volume that I must</w:t>
      </w:r>
      <w:r w:rsidR="004644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also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mention.</w:t>
      </w:r>
      <w:r w:rsidR="00E17E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first is the relative lack of </w:t>
      </w:r>
      <w:r w:rsidR="00E93E5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international </w:t>
      </w:r>
      <w:r w:rsidR="00E17E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comparative context throughout </w:t>
      </w:r>
      <w:r w:rsidR="00472D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most of </w:t>
      </w:r>
      <w:r w:rsidR="00E17E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 book’s chapters</w:t>
      </w:r>
      <w:r w:rsidR="00497F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with the authors </w:t>
      </w:r>
      <w:r w:rsidR="006B14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tending to see</w:t>
      </w:r>
      <w:r w:rsidR="00497F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Indonesian law as its own </w:t>
      </w:r>
      <w:r w:rsidR="0046444C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sui generis</w:t>
      </w:r>
      <w:r w:rsidR="004644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system which has evolved in parallel with </w:t>
      </w:r>
      <w:r w:rsidR="00AC76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domestic</w:t>
      </w:r>
      <w:r w:rsidR="004644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political changes</w:t>
      </w:r>
      <w:r w:rsidR="00B226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2103C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644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This approach risks</w:t>
      </w:r>
      <w:r w:rsidR="00C70A1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parochial conclusions based on a relatively small sample of cases or legislative provisions.</w:t>
      </w:r>
      <w:r w:rsidR="004644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D4E3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Ultimately</w:t>
      </w:r>
      <w:r w:rsidR="006B14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i</w:t>
      </w:r>
      <w:r w:rsidR="004644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 may also </w:t>
      </w:r>
      <w:r w:rsidR="00E36CE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confine</w:t>
      </w:r>
      <w:r w:rsidR="004644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volume’s potential readership to Indonesianists, </w:t>
      </w:r>
      <w:r w:rsidR="006D5E2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to the exclusion of</w:t>
      </w:r>
      <w:r w:rsidR="004644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criminal justice scholars</w:t>
      </w:r>
      <w:r w:rsidR="00E36CE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more broadly</w:t>
      </w:r>
      <w:r w:rsidR="004644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E17E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93E5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However, t</w:t>
      </w:r>
      <w:r w:rsidR="00E17E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he question</w:t>
      </w:r>
      <w:r w:rsidR="00041B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then</w:t>
      </w:r>
      <w:r w:rsidR="004644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17E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begs itself: what is the proper jurisdiction or geographical region that Indonesia’s criminal justice system should </w:t>
      </w:r>
      <w:r w:rsidR="008219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 compared to, if any</w:t>
      </w:r>
      <w:r w:rsidR="00E17E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? </w:t>
      </w:r>
      <w:r w:rsidR="00AC76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</w:t>
      </w:r>
      <w:r w:rsidR="00E17E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he Netherlands</w:t>
      </w:r>
      <w:r w:rsidR="000268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given the origins of Indonesia’s current Criminal Code</w:t>
      </w:r>
      <w:r w:rsidR="00E17E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? </w:t>
      </w:r>
      <w:r w:rsidR="00AC76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</w:t>
      </w:r>
      <w:r w:rsidR="00E17E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he Middle East, </w:t>
      </w:r>
      <w:r w:rsidR="008219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where many</w:t>
      </w:r>
      <w:r w:rsidR="00E17E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jurisdictions are wrestling with the same </w:t>
      </w:r>
      <w:r w:rsidR="002469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questions about the </w:t>
      </w:r>
      <w:r w:rsidR="008219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incorporation</w:t>
      </w:r>
      <w:r w:rsidR="002469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of </w:t>
      </w:r>
      <w:r w:rsidR="002469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Islamic Criminal Law</w:t>
      </w:r>
      <w:r w:rsidR="00AC76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doctrine</w:t>
      </w:r>
      <w:r w:rsidR="002469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into the state’s positive laws</w:t>
      </w:r>
      <w:r w:rsidR="007E385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(as noted by Hosen in Ch 18)</w:t>
      </w:r>
      <w:r w:rsidR="002469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? </w:t>
      </w:r>
      <w:r w:rsidR="004022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r w:rsidR="00472D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other</w:t>
      </w:r>
      <w:r w:rsidR="004022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ASEAN bloc nations, with their closer </w:t>
      </w:r>
      <w:r w:rsidR="007E385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economic and </w:t>
      </w:r>
      <w:r w:rsidR="004022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legal</w:t>
      </w:r>
      <w:r w:rsidR="00AF07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022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integration </w:t>
      </w:r>
      <w:r w:rsidR="00B226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since the 2008 Charter</w:t>
      </w:r>
      <w:r w:rsidR="004022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? </w:t>
      </w:r>
      <w:r w:rsidR="002469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Or </w:t>
      </w:r>
      <w:r w:rsidR="00E546F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perhaps</w:t>
      </w:r>
      <w:r w:rsidR="002469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other pluralistic legal regimes</w:t>
      </w:r>
      <w:r w:rsidR="008219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</w:t>
      </w:r>
      <w:r w:rsidR="002420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</w:t>
      </w:r>
      <w:r w:rsidR="008219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Asia</w:t>
      </w:r>
      <w:r w:rsidR="002420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-Pacific region</w:t>
      </w:r>
      <w:r w:rsidR="002469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incorporating customary law</w:t>
      </w:r>
      <w:r w:rsidR="00B226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into a predominantly civil law or common law framework</w:t>
      </w:r>
      <w:r w:rsidR="002469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such as </w:t>
      </w:r>
      <w:r w:rsidR="00D417A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Malaysia,</w:t>
      </w:r>
      <w:r w:rsidR="002420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Papua New Guinea,</w:t>
      </w:r>
      <w:r w:rsidR="0061562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226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the </w:t>
      </w:r>
      <w:r w:rsidR="007E385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Philippines,</w:t>
      </w:r>
      <w:r w:rsidR="008919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D16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and </w:t>
      </w:r>
      <w:r w:rsidR="00E06AB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Vanuatu</w:t>
      </w:r>
      <w:r w:rsidR="002469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?</w:t>
      </w:r>
      <w:r w:rsidR="00E36CE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2E0D63D3" w14:textId="3101EC4D" w:rsidR="00525A74" w:rsidRDefault="00525A74" w:rsidP="00101D18">
      <w:pPr>
        <w:spacing w:after="12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The second drawback is the volume’s unfortunate timing. </w:t>
      </w:r>
      <w:r w:rsidR="001E79F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Compiled</w:t>
      </w:r>
      <w:r w:rsidR="0064140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just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before the Covid-19 pandemic</w:t>
      </w:r>
      <w:r w:rsidR="00B226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struck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many of the </w:t>
      </w:r>
      <w:r w:rsidR="00AC76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constituent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chapters anticipated the DPR soon passing a</w:t>
      </w:r>
      <w:r w:rsidR="00362A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D2A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brand-new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criminal code</w:t>
      </w:r>
      <w:r w:rsidR="005D2A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(e.g. Ch 1, 4, 10, 16)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5B07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continuing to debate a new criminal procedural code</w:t>
      </w:r>
      <w:r w:rsidR="00C411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r w:rsidR="0023302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e.g. </w:t>
      </w:r>
      <w:r w:rsidR="00C411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Ch 3</w:t>
      </w:r>
      <w:r w:rsidR="00C861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5</w:t>
      </w:r>
      <w:r w:rsidR="007A6E1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6</w:t>
      </w:r>
      <w:r w:rsidR="00C411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r w:rsidR="005B07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were drafted </w:t>
      </w:r>
      <w:r w:rsidR="00041B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on this basis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Although at the time of writing</w:t>
      </w:r>
      <w:r w:rsidR="00362A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this review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 August 2022</w:t>
      </w:r>
      <w:r w:rsidR="008477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</w:t>
      </w:r>
      <w:r w:rsidR="004D789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RUU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KUHP is back on the DPR’s legislative agenda</w:t>
      </w:r>
      <w:r w:rsidR="005B07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r w:rsidR="0023302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Galuh, ‘</w:t>
      </w:r>
      <w:r w:rsidR="00233028" w:rsidRPr="0023302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RUU KUHP: Masih Adakah Ruang untuk Publik Berpartisipasi?</w:t>
      </w:r>
      <w:r w:rsidR="0023302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’ </w:t>
      </w:r>
      <w:r w:rsidR="005D2A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(2022)</w:t>
      </w:r>
      <w:r w:rsidR="005B07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041B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both protests</w:t>
      </w:r>
      <w:r w:rsidR="00472D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against the bill</w:t>
      </w:r>
      <w:r w:rsidR="00041B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 pandemic ha</w:t>
      </w:r>
      <w:r w:rsidR="00041B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ve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served to stall the </w:t>
      </w:r>
      <w:r w:rsidR="008170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legislative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process by several years</w:t>
      </w:r>
      <w:r w:rsidR="005D2A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There remains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</w:t>
      </w:r>
      <w:r w:rsidR="005B07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possibility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that the </w:t>
      </w:r>
      <w:r w:rsidR="00472D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revised code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041B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when or if it is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passed, will not</w:t>
      </w:r>
      <w:r w:rsidR="005B07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closely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resemble </w:t>
      </w:r>
      <w:r w:rsidR="001E79F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its</w:t>
      </w:r>
      <w:r w:rsidR="005B07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previous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B07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201</w:t>
      </w:r>
      <w:r w:rsidR="004D789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5</w:t>
      </w:r>
      <w:r w:rsidR="009814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/2017/2018</w:t>
      </w:r>
      <w:r w:rsidR="005B07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draft</w:t>
      </w:r>
      <w:r w:rsidR="009814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s, which informed several of the volume’s chapters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Covid-19 </w:t>
      </w:r>
      <w:r w:rsidR="005B07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and its aftershocks have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also brought changes to Indonesian criminal justice that academic authors are only just beginning to document, such as</w:t>
      </w:r>
      <w:r w:rsidR="00B7484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longer</w:t>
      </w:r>
      <w:r w:rsidR="00D538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case backlogs,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275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virtual court hearings, </w:t>
      </w:r>
      <w:r w:rsidR="00023C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offences related to social distancing, </w:t>
      </w:r>
      <w:r w:rsidR="004554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prisoner releases due to overcrowding, </w:t>
      </w:r>
      <w:r w:rsidR="00D538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and even </w:t>
      </w:r>
      <w:r w:rsidR="00FB3D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new ways of </w:t>
      </w:r>
      <w:r w:rsidR="00D538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demonstrating </w:t>
      </w:r>
      <w:r w:rsidR="004554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prisoner rehabilitation while</w:t>
      </w:r>
      <w:r w:rsidR="00B7484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engaged in</w:t>
      </w:r>
      <w:r w:rsidR="004554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social distancing</w:t>
      </w:r>
      <w:r w:rsidR="00FE24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(Barlian and Permata Harista, ‘Virtual Court as Alternative On the Future Criminal Justice System in Indonesia’ (2020); Istiquomah, ‘</w:t>
      </w:r>
      <w:r w:rsidR="00FE2485" w:rsidRPr="00FE24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Exiting the Prisoners Policy in Indonesia and Some Countries due to COVID-19 Disclosure</w:t>
      </w:r>
      <w:r w:rsidR="00FE24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’ (2020); Yangot et al, ‘</w:t>
      </w:r>
      <w:r w:rsidR="00FE2485" w:rsidRPr="00FE24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Impacts of the COVID-19 Pandemic on Criminal Justice Systems</w:t>
      </w:r>
      <w:r w:rsidR="00FE24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E2485" w:rsidRPr="00FE24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and Gender-based Violence in Southeast Asia</w:t>
      </w:r>
      <w:r w:rsidR="00FE24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’ </w:t>
      </w:r>
      <w:r w:rsidR="008477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</w:t>
      </w:r>
      <w:r w:rsidR="00FE24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2021); </w:t>
      </w:r>
      <w:r w:rsidR="005902B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Maradona et al, ‘Criminal Law Response to the Covid-19 Pandemic in ASEAN “A Study on the Effectiveness and the Limit of Criminal Law’ (2021))</w:t>
      </w:r>
      <w:r w:rsidR="00D538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DF46E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None of these</w:t>
      </w:r>
      <w:r w:rsidR="00B379C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issues</w:t>
      </w:r>
      <w:r w:rsidR="00DF46E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are considered in the </w:t>
      </w:r>
      <w:r w:rsidR="00B379C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volume</w:t>
      </w:r>
      <w:r w:rsidR="00DF46E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3E3ABA6F" w14:textId="69D238DA" w:rsidR="009739F9" w:rsidRPr="00A51409" w:rsidRDefault="005B07D2" w:rsidP="00101D18">
      <w:pPr>
        <w:spacing w:after="12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Nevertheless</w:t>
      </w:r>
      <w:r w:rsidR="00AA1C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these are relatively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minor</w:t>
      </w:r>
      <w:r w:rsidR="00AA1C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379C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shortcomings</w:t>
      </w:r>
      <w:r w:rsidR="00AA1C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with the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collection’s ambit</w:t>
      </w:r>
      <w:r w:rsidR="00567C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that could easily be remedied in a future edition or by a wider </w:t>
      </w:r>
      <w:r w:rsidR="00287AF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perusal</w:t>
      </w:r>
      <w:r w:rsidR="00567C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of the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D4E3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most recent</w:t>
      </w:r>
      <w:r w:rsidR="00567C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literature</w:t>
      </w:r>
      <w:r w:rsidR="00AA1C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Read </w:t>
      </w:r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Crime and Punishment in Indonesia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AA1C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for unrivalled English-language insights into the cases and debates that have shaped Indonesian criminal </w:t>
      </w:r>
      <w:r w:rsidR="008B4D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law and criminal </w:t>
      </w:r>
      <w:r w:rsidR="00AA1C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justice since the beginning of the </w:t>
      </w:r>
      <w:r w:rsidR="00AA1CBA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Reformasi</w:t>
      </w:r>
      <w:r w:rsidR="00AA1C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period, and </w:t>
      </w:r>
      <w:r w:rsidR="00CB0E4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to</w:t>
      </w:r>
      <w:r w:rsidR="00AA1C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understand Indonesian </w:t>
      </w:r>
      <w:r w:rsidR="00041B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legal culture</w:t>
      </w:r>
      <w:r w:rsidR="00AA1C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more generally. </w:t>
      </w:r>
      <w:r w:rsidR="00CB0E4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This book will help readers make sense of</w:t>
      </w:r>
      <w:r w:rsidR="005309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B0E4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 socio-political context behind</w:t>
      </w:r>
      <w:r w:rsidR="00BB28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present and future</w:t>
      </w:r>
      <w:r w:rsidR="00AA1C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law reforms affecting </w:t>
      </w:r>
      <w:r w:rsidR="005A7A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citizens’ libert</w:t>
      </w:r>
      <w:r w:rsidR="00CD360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ies</w:t>
      </w:r>
      <w:r w:rsidR="005A7A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 the world’s fourth </w:t>
      </w:r>
      <w:r w:rsidR="00CD360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most populous country</w:t>
      </w:r>
      <w:r w:rsidR="00861D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1BA9F2B0" w14:textId="12F6D80D" w:rsidR="009739F9" w:rsidRPr="00A51409" w:rsidRDefault="009739F9" w:rsidP="00244ACE">
      <w:pPr>
        <w:spacing w:after="120" w:line="240" w:lineRule="auto"/>
        <w:jc w:val="righ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5140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Daniel Pascoe</w:t>
      </w:r>
    </w:p>
    <w:p w14:paraId="44819FFD" w14:textId="293F9F96" w:rsidR="009739F9" w:rsidRPr="00A51409" w:rsidRDefault="009739F9" w:rsidP="00101D1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40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dcpascoe@cityu.edu.hk</w:t>
      </w:r>
    </w:p>
    <w:sectPr w:rsidR="009739F9" w:rsidRPr="00A51409" w:rsidSect="00BE4D4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1A41" w14:textId="77777777" w:rsidR="00654FB6" w:rsidRDefault="00654FB6" w:rsidP="00FC1DF3">
      <w:pPr>
        <w:spacing w:after="0" w:line="240" w:lineRule="auto"/>
      </w:pPr>
      <w:r>
        <w:separator/>
      </w:r>
    </w:p>
  </w:endnote>
  <w:endnote w:type="continuationSeparator" w:id="0">
    <w:p w14:paraId="1E9EC58C" w14:textId="77777777" w:rsidR="00654FB6" w:rsidRDefault="00654FB6" w:rsidP="00FC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87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A11F3" w14:textId="197D8A7F" w:rsidR="00FC1DF3" w:rsidRDefault="00FC1D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7ECEC1" w14:textId="77777777" w:rsidR="00FC1DF3" w:rsidRDefault="00FC1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0E25" w14:textId="77777777" w:rsidR="00654FB6" w:rsidRDefault="00654FB6" w:rsidP="00FC1DF3">
      <w:pPr>
        <w:spacing w:after="0" w:line="240" w:lineRule="auto"/>
      </w:pPr>
      <w:r>
        <w:separator/>
      </w:r>
    </w:p>
  </w:footnote>
  <w:footnote w:type="continuationSeparator" w:id="0">
    <w:p w14:paraId="10BC3B41" w14:textId="77777777" w:rsidR="00654FB6" w:rsidRDefault="00654FB6" w:rsidP="00FC1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D7245"/>
    <w:multiLevelType w:val="hybridMultilevel"/>
    <w:tmpl w:val="3610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3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83"/>
    <w:rsid w:val="00023C58"/>
    <w:rsid w:val="00026840"/>
    <w:rsid w:val="000345C1"/>
    <w:rsid w:val="00036754"/>
    <w:rsid w:val="00041BE2"/>
    <w:rsid w:val="000512F0"/>
    <w:rsid w:val="00066CAE"/>
    <w:rsid w:val="00070FBA"/>
    <w:rsid w:val="00071532"/>
    <w:rsid w:val="0007773C"/>
    <w:rsid w:val="00077B4F"/>
    <w:rsid w:val="000A219B"/>
    <w:rsid w:val="000A420C"/>
    <w:rsid w:val="000E64A1"/>
    <w:rsid w:val="000F081E"/>
    <w:rsid w:val="00101D18"/>
    <w:rsid w:val="00103E3C"/>
    <w:rsid w:val="00125B4C"/>
    <w:rsid w:val="00185A01"/>
    <w:rsid w:val="001A6216"/>
    <w:rsid w:val="001A7908"/>
    <w:rsid w:val="001E523C"/>
    <w:rsid w:val="001E79FC"/>
    <w:rsid w:val="002029BD"/>
    <w:rsid w:val="00204075"/>
    <w:rsid w:val="00207D74"/>
    <w:rsid w:val="002103C7"/>
    <w:rsid w:val="00212110"/>
    <w:rsid w:val="002259D5"/>
    <w:rsid w:val="0023117E"/>
    <w:rsid w:val="00233028"/>
    <w:rsid w:val="002420B6"/>
    <w:rsid w:val="00244ACE"/>
    <w:rsid w:val="00246947"/>
    <w:rsid w:val="0026719E"/>
    <w:rsid w:val="00280C08"/>
    <w:rsid w:val="002851F5"/>
    <w:rsid w:val="00287AFC"/>
    <w:rsid w:val="002D1471"/>
    <w:rsid w:val="002E1468"/>
    <w:rsid w:val="002F3BF4"/>
    <w:rsid w:val="00302DC3"/>
    <w:rsid w:val="00313AC8"/>
    <w:rsid w:val="00327523"/>
    <w:rsid w:val="00337EA9"/>
    <w:rsid w:val="00347EE6"/>
    <w:rsid w:val="0035320F"/>
    <w:rsid w:val="003563BE"/>
    <w:rsid w:val="00362A33"/>
    <w:rsid w:val="003C3E37"/>
    <w:rsid w:val="003D0EC5"/>
    <w:rsid w:val="003D7E2B"/>
    <w:rsid w:val="003E3193"/>
    <w:rsid w:val="003F46E8"/>
    <w:rsid w:val="004022BD"/>
    <w:rsid w:val="004036C6"/>
    <w:rsid w:val="004101BD"/>
    <w:rsid w:val="0041083C"/>
    <w:rsid w:val="00412E95"/>
    <w:rsid w:val="0041655B"/>
    <w:rsid w:val="00445B6B"/>
    <w:rsid w:val="00446F48"/>
    <w:rsid w:val="004554D3"/>
    <w:rsid w:val="0046444C"/>
    <w:rsid w:val="00470414"/>
    <w:rsid w:val="00472D90"/>
    <w:rsid w:val="00497F3B"/>
    <w:rsid w:val="004A5E79"/>
    <w:rsid w:val="004B2324"/>
    <w:rsid w:val="004D1633"/>
    <w:rsid w:val="004D789D"/>
    <w:rsid w:val="004F79D5"/>
    <w:rsid w:val="00525A74"/>
    <w:rsid w:val="005309B5"/>
    <w:rsid w:val="00553E7D"/>
    <w:rsid w:val="00561A18"/>
    <w:rsid w:val="00567CF2"/>
    <w:rsid w:val="00572EB3"/>
    <w:rsid w:val="00575E82"/>
    <w:rsid w:val="005902B8"/>
    <w:rsid w:val="00591405"/>
    <w:rsid w:val="00592493"/>
    <w:rsid w:val="005A0580"/>
    <w:rsid w:val="005A673B"/>
    <w:rsid w:val="005A7A63"/>
    <w:rsid w:val="005B07D2"/>
    <w:rsid w:val="005B2E77"/>
    <w:rsid w:val="005C6CB3"/>
    <w:rsid w:val="005D2A6F"/>
    <w:rsid w:val="00615629"/>
    <w:rsid w:val="00641404"/>
    <w:rsid w:val="006428CB"/>
    <w:rsid w:val="00650946"/>
    <w:rsid w:val="00654FB6"/>
    <w:rsid w:val="006B14D2"/>
    <w:rsid w:val="006D5E2D"/>
    <w:rsid w:val="006E5F42"/>
    <w:rsid w:val="00701F3C"/>
    <w:rsid w:val="00740EF1"/>
    <w:rsid w:val="0074430A"/>
    <w:rsid w:val="007472D2"/>
    <w:rsid w:val="0079167D"/>
    <w:rsid w:val="007A6E18"/>
    <w:rsid w:val="007C483E"/>
    <w:rsid w:val="007D013D"/>
    <w:rsid w:val="007E2488"/>
    <w:rsid w:val="007E385F"/>
    <w:rsid w:val="007F4F0D"/>
    <w:rsid w:val="00811E6C"/>
    <w:rsid w:val="00811F83"/>
    <w:rsid w:val="008123F6"/>
    <w:rsid w:val="0081706F"/>
    <w:rsid w:val="0082197D"/>
    <w:rsid w:val="00825113"/>
    <w:rsid w:val="00834224"/>
    <w:rsid w:val="0084085C"/>
    <w:rsid w:val="00845B06"/>
    <w:rsid w:val="008463AA"/>
    <w:rsid w:val="00847759"/>
    <w:rsid w:val="00847CCC"/>
    <w:rsid w:val="00861DBD"/>
    <w:rsid w:val="00874DD0"/>
    <w:rsid w:val="008768D9"/>
    <w:rsid w:val="00891964"/>
    <w:rsid w:val="008A3C50"/>
    <w:rsid w:val="008A59B0"/>
    <w:rsid w:val="008B4D6E"/>
    <w:rsid w:val="008C5B82"/>
    <w:rsid w:val="008D55A8"/>
    <w:rsid w:val="008E1E80"/>
    <w:rsid w:val="00923807"/>
    <w:rsid w:val="009269D1"/>
    <w:rsid w:val="00951973"/>
    <w:rsid w:val="009524B6"/>
    <w:rsid w:val="009600FF"/>
    <w:rsid w:val="009716B1"/>
    <w:rsid w:val="009739F9"/>
    <w:rsid w:val="00975B35"/>
    <w:rsid w:val="00976CE5"/>
    <w:rsid w:val="00980B79"/>
    <w:rsid w:val="0098140A"/>
    <w:rsid w:val="00984832"/>
    <w:rsid w:val="00996D5B"/>
    <w:rsid w:val="009B3638"/>
    <w:rsid w:val="009C60FA"/>
    <w:rsid w:val="009D6D47"/>
    <w:rsid w:val="00A174FA"/>
    <w:rsid w:val="00A24A46"/>
    <w:rsid w:val="00A26652"/>
    <w:rsid w:val="00A40DCA"/>
    <w:rsid w:val="00A51409"/>
    <w:rsid w:val="00A84C6B"/>
    <w:rsid w:val="00A8658B"/>
    <w:rsid w:val="00A90191"/>
    <w:rsid w:val="00A96E64"/>
    <w:rsid w:val="00AA1CBA"/>
    <w:rsid w:val="00AC7681"/>
    <w:rsid w:val="00AF073B"/>
    <w:rsid w:val="00AF6BFA"/>
    <w:rsid w:val="00B21148"/>
    <w:rsid w:val="00B2266A"/>
    <w:rsid w:val="00B31AC7"/>
    <w:rsid w:val="00B379CF"/>
    <w:rsid w:val="00B50E1A"/>
    <w:rsid w:val="00B74845"/>
    <w:rsid w:val="00B8773E"/>
    <w:rsid w:val="00B93897"/>
    <w:rsid w:val="00BA0AA5"/>
    <w:rsid w:val="00BA65CD"/>
    <w:rsid w:val="00BB2859"/>
    <w:rsid w:val="00BD148E"/>
    <w:rsid w:val="00BD60BB"/>
    <w:rsid w:val="00BE4D4B"/>
    <w:rsid w:val="00C23403"/>
    <w:rsid w:val="00C4115A"/>
    <w:rsid w:val="00C46CAC"/>
    <w:rsid w:val="00C63FCB"/>
    <w:rsid w:val="00C70A11"/>
    <w:rsid w:val="00C77CC6"/>
    <w:rsid w:val="00C84235"/>
    <w:rsid w:val="00C86183"/>
    <w:rsid w:val="00C870AC"/>
    <w:rsid w:val="00C94747"/>
    <w:rsid w:val="00CA3246"/>
    <w:rsid w:val="00CB0E4A"/>
    <w:rsid w:val="00CD3606"/>
    <w:rsid w:val="00CE65D6"/>
    <w:rsid w:val="00CE7022"/>
    <w:rsid w:val="00D30EEC"/>
    <w:rsid w:val="00D375F8"/>
    <w:rsid w:val="00D417AD"/>
    <w:rsid w:val="00D538DB"/>
    <w:rsid w:val="00D60C72"/>
    <w:rsid w:val="00D673CC"/>
    <w:rsid w:val="00D67EB7"/>
    <w:rsid w:val="00D90838"/>
    <w:rsid w:val="00D92CC4"/>
    <w:rsid w:val="00DC7540"/>
    <w:rsid w:val="00DF46E4"/>
    <w:rsid w:val="00DF506D"/>
    <w:rsid w:val="00E02D62"/>
    <w:rsid w:val="00E06AB9"/>
    <w:rsid w:val="00E17C21"/>
    <w:rsid w:val="00E17EA3"/>
    <w:rsid w:val="00E31CB3"/>
    <w:rsid w:val="00E35023"/>
    <w:rsid w:val="00E36CE7"/>
    <w:rsid w:val="00E43E28"/>
    <w:rsid w:val="00E546FB"/>
    <w:rsid w:val="00E54919"/>
    <w:rsid w:val="00E936AE"/>
    <w:rsid w:val="00E93E51"/>
    <w:rsid w:val="00EB5B9C"/>
    <w:rsid w:val="00F03D73"/>
    <w:rsid w:val="00F05012"/>
    <w:rsid w:val="00F072BF"/>
    <w:rsid w:val="00F311DB"/>
    <w:rsid w:val="00F4140A"/>
    <w:rsid w:val="00F56897"/>
    <w:rsid w:val="00F77039"/>
    <w:rsid w:val="00F86130"/>
    <w:rsid w:val="00FA0F4D"/>
    <w:rsid w:val="00FA11D0"/>
    <w:rsid w:val="00FB3DD1"/>
    <w:rsid w:val="00FB4FFE"/>
    <w:rsid w:val="00FC1DF3"/>
    <w:rsid w:val="00FD19DB"/>
    <w:rsid w:val="00FD4004"/>
    <w:rsid w:val="00FD4E36"/>
    <w:rsid w:val="00FE2485"/>
    <w:rsid w:val="00FE32CA"/>
    <w:rsid w:val="00FE5AD9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8596"/>
  <w15:chartTrackingRefBased/>
  <w15:docId w15:val="{07BCBB92-0F95-460E-9317-7318A471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B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4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4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5E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1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F3"/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B4F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3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3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3E7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7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Pascoe</dc:creator>
  <cp:keywords/>
  <dc:description/>
  <cp:lastModifiedBy>Daniel Pascoe</cp:lastModifiedBy>
  <cp:revision>4</cp:revision>
  <dcterms:created xsi:type="dcterms:W3CDTF">2022-12-20T00:47:00Z</dcterms:created>
  <dcterms:modified xsi:type="dcterms:W3CDTF">2023-06-23T07:32:00Z</dcterms:modified>
</cp:coreProperties>
</file>